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309" w:rsidRDefault="00895DAB" w:rsidP="00895DAB">
      <w:pPr>
        <w:jc w:val="center"/>
      </w:pPr>
      <w:bookmarkStart w:id="0" w:name="_Toc176258651"/>
      <w:bookmarkStart w:id="1" w:name="_GoBack"/>
      <w:r w:rsidRPr="00714309">
        <w:t xml:space="preserve">Regional Capacity Building Workshop </w:t>
      </w:r>
      <w:r w:rsidRPr="00714309">
        <w:rPr>
          <w:rFonts w:asciiTheme="majorHAnsi" w:hAnsiTheme="majorHAnsi" w:cstheme="majorHAnsi"/>
          <w:i/>
          <w:sz w:val="22"/>
          <w:szCs w:val="22"/>
        </w:rPr>
        <w:t>for NWFPs in Eastern Europe, Central Asia and Caucasus</w:t>
      </w:r>
      <w:r w:rsidRPr="00714309">
        <w:t xml:space="preserve"> </w:t>
      </w:r>
    </w:p>
    <w:p w:rsidR="00895DAB" w:rsidRPr="00714309" w:rsidRDefault="00F6195A" w:rsidP="00895DAB">
      <w:pPr>
        <w:jc w:val="center"/>
      </w:pPr>
      <w:r w:rsidRPr="00714309">
        <w:t>8-11</w:t>
      </w:r>
      <w:r w:rsidR="00895DAB" w:rsidRPr="00714309">
        <w:t xml:space="preserve"> October 2024</w:t>
      </w:r>
    </w:p>
    <w:bookmarkEnd w:id="1"/>
    <w:p w:rsidR="00895DAB" w:rsidRDefault="00895DAB" w:rsidP="00895DAB">
      <w:pPr>
        <w:pStyle w:val="Balk1"/>
        <w:jc w:val="both"/>
        <w:rPr>
          <w:rFonts w:asciiTheme="majorHAnsi" w:hAnsiTheme="majorHAnsi" w:cstheme="majorHAnsi"/>
        </w:rPr>
      </w:pPr>
    </w:p>
    <w:p w:rsidR="00895DAB" w:rsidRPr="00113652" w:rsidRDefault="00895DAB" w:rsidP="00895DAB">
      <w:pPr>
        <w:pStyle w:val="Balk1"/>
        <w:jc w:val="both"/>
        <w:rPr>
          <w:rFonts w:asciiTheme="majorHAnsi" w:hAnsiTheme="majorHAnsi" w:cstheme="majorHAnsi"/>
        </w:rPr>
      </w:pPr>
      <w:r w:rsidRPr="00113652">
        <w:rPr>
          <w:rFonts w:asciiTheme="majorHAnsi" w:hAnsiTheme="majorHAnsi" w:cstheme="majorHAnsi"/>
        </w:rPr>
        <w:t>Background</w:t>
      </w:r>
      <w:bookmarkEnd w:id="0"/>
    </w:p>
    <w:p w:rsidR="00895DAB" w:rsidRPr="00113652" w:rsidRDefault="00895DAB" w:rsidP="00895DAB">
      <w:pPr>
        <w:jc w:val="both"/>
        <w:rPr>
          <w:rFonts w:asciiTheme="majorHAnsi" w:hAnsiTheme="majorHAnsi" w:cstheme="majorHAnsi"/>
          <w:lang w:val="en-US" w:eastAsia="en-US"/>
        </w:rPr>
      </w:pPr>
    </w:p>
    <w:p w:rsidR="00895DAB" w:rsidRPr="00113652" w:rsidRDefault="00895DAB" w:rsidP="00895DAB">
      <w:pPr>
        <w:jc w:val="both"/>
        <w:rPr>
          <w:rFonts w:asciiTheme="majorHAnsi" w:hAnsiTheme="majorHAnsi" w:cstheme="majorHAnsi"/>
          <w:sz w:val="22"/>
          <w:szCs w:val="22"/>
        </w:rPr>
      </w:pPr>
      <w:r w:rsidRPr="00113652">
        <w:rPr>
          <w:rFonts w:asciiTheme="majorHAnsi" w:hAnsiTheme="majorHAnsi" w:cstheme="majorHAnsi"/>
          <w:sz w:val="22"/>
          <w:szCs w:val="22"/>
        </w:rPr>
        <w:t xml:space="preserve">A Letter of Agreement has been signed between the Food and Agriculture Organization of the United Nations (FAO) and Chamber of Forest Engineers in Türkiye (OMO) on </w:t>
      </w:r>
      <w:r w:rsidRPr="00113652">
        <w:rPr>
          <w:rFonts w:asciiTheme="majorHAnsi" w:hAnsiTheme="majorHAnsi" w:cstheme="majorHAnsi"/>
          <w:b/>
          <w:sz w:val="22"/>
          <w:szCs w:val="22"/>
        </w:rPr>
        <w:t>29.0.2024</w:t>
      </w:r>
      <w:r w:rsidRPr="00113652">
        <w:rPr>
          <w:rFonts w:asciiTheme="majorHAnsi" w:hAnsiTheme="majorHAnsi" w:cstheme="majorHAnsi"/>
          <w:sz w:val="22"/>
          <w:szCs w:val="22"/>
        </w:rPr>
        <w:t xml:space="preserve"> for provision of “</w:t>
      </w:r>
      <w:r w:rsidRPr="00113652">
        <w:rPr>
          <w:rFonts w:asciiTheme="majorHAnsi" w:hAnsiTheme="majorHAnsi" w:cstheme="majorHAnsi"/>
          <w:i/>
          <w:sz w:val="22"/>
          <w:szCs w:val="22"/>
        </w:rPr>
        <w:t>Developing regional guidelines on value chain development and market access for NWFPs in Eastern Europe, Central Asia and Caucasus, implementing a regional capacity building workshop and conducting an online training on the use of the guideline</w:t>
      </w:r>
      <w:r w:rsidRPr="00113652">
        <w:rPr>
          <w:rFonts w:asciiTheme="majorHAnsi" w:hAnsiTheme="majorHAnsi" w:cstheme="majorHAnsi"/>
          <w:sz w:val="22"/>
          <w:szCs w:val="22"/>
        </w:rPr>
        <w:t>”.</w:t>
      </w:r>
    </w:p>
    <w:p w:rsidR="00895DAB" w:rsidRPr="00113652" w:rsidRDefault="00895DAB" w:rsidP="00895DAB">
      <w:pPr>
        <w:jc w:val="both"/>
        <w:rPr>
          <w:rFonts w:asciiTheme="majorHAnsi" w:hAnsiTheme="majorHAnsi" w:cstheme="majorHAnsi"/>
          <w:sz w:val="22"/>
          <w:szCs w:val="22"/>
        </w:rPr>
      </w:pPr>
    </w:p>
    <w:p w:rsidR="00895DAB" w:rsidRPr="00113652" w:rsidRDefault="00895DAB" w:rsidP="00895DAB">
      <w:pPr>
        <w:jc w:val="both"/>
        <w:rPr>
          <w:rFonts w:asciiTheme="majorHAnsi" w:hAnsiTheme="majorHAnsi" w:cstheme="majorHAnsi"/>
          <w:sz w:val="22"/>
          <w:szCs w:val="22"/>
        </w:rPr>
      </w:pPr>
      <w:r w:rsidRPr="00113652">
        <w:rPr>
          <w:rFonts w:asciiTheme="majorHAnsi" w:hAnsiTheme="majorHAnsi" w:cstheme="majorHAnsi"/>
          <w:sz w:val="22"/>
          <w:szCs w:val="22"/>
        </w:rPr>
        <w:t>In line with this LoA, OMO, as the Service Provider will produce, achieve or deliver the following outputs:</w:t>
      </w:r>
    </w:p>
    <w:p w:rsidR="00895DAB" w:rsidRPr="00113652" w:rsidRDefault="00895DAB" w:rsidP="00895DAB">
      <w:pPr>
        <w:pStyle w:val="ListeParagraf"/>
        <w:numPr>
          <w:ilvl w:val="0"/>
          <w:numId w:val="1"/>
        </w:numPr>
        <w:jc w:val="both"/>
        <w:rPr>
          <w:rFonts w:asciiTheme="majorHAnsi" w:hAnsiTheme="majorHAnsi" w:cstheme="majorHAnsi"/>
          <w:sz w:val="22"/>
          <w:szCs w:val="22"/>
        </w:rPr>
      </w:pPr>
      <w:r w:rsidRPr="00113652">
        <w:rPr>
          <w:rFonts w:asciiTheme="majorHAnsi" w:hAnsiTheme="majorHAnsi" w:cstheme="majorHAnsi"/>
          <w:sz w:val="22"/>
          <w:szCs w:val="22"/>
        </w:rPr>
        <w:t>A regional capacity building workshop will be organized (to be informed about the current situation in the participating countries and gather information for their needs related to NWFPs)</w:t>
      </w:r>
    </w:p>
    <w:p w:rsidR="00895DAB" w:rsidRPr="00113652" w:rsidRDefault="00895DAB" w:rsidP="00895DAB">
      <w:pPr>
        <w:pStyle w:val="ListeParagraf"/>
        <w:numPr>
          <w:ilvl w:val="0"/>
          <w:numId w:val="1"/>
        </w:numPr>
        <w:jc w:val="both"/>
        <w:rPr>
          <w:rFonts w:asciiTheme="majorHAnsi" w:hAnsiTheme="majorHAnsi" w:cstheme="majorHAnsi"/>
          <w:sz w:val="22"/>
          <w:szCs w:val="22"/>
        </w:rPr>
      </w:pPr>
      <w:r w:rsidRPr="00113652">
        <w:rPr>
          <w:rFonts w:asciiTheme="majorHAnsi" w:hAnsiTheme="majorHAnsi" w:cstheme="majorHAnsi"/>
          <w:sz w:val="22"/>
          <w:szCs w:val="22"/>
        </w:rPr>
        <w:t>Regional guidelines will be developed, and</w:t>
      </w:r>
    </w:p>
    <w:p w:rsidR="00895DAB" w:rsidRPr="00113652" w:rsidRDefault="00895DAB" w:rsidP="00895DAB">
      <w:pPr>
        <w:pStyle w:val="ListeParagraf"/>
        <w:numPr>
          <w:ilvl w:val="0"/>
          <w:numId w:val="1"/>
        </w:numPr>
        <w:jc w:val="both"/>
        <w:rPr>
          <w:rFonts w:asciiTheme="majorHAnsi" w:hAnsiTheme="majorHAnsi" w:cstheme="majorHAnsi"/>
          <w:sz w:val="22"/>
          <w:szCs w:val="22"/>
        </w:rPr>
      </w:pPr>
      <w:r w:rsidRPr="00113652">
        <w:rPr>
          <w:rFonts w:asciiTheme="majorHAnsi" w:hAnsiTheme="majorHAnsi" w:cstheme="majorHAnsi"/>
          <w:sz w:val="22"/>
          <w:szCs w:val="22"/>
        </w:rPr>
        <w:t>Online Training will be conducted with the participation of respective countries from South and Eastern Europe, Central Asia and Caucasus.</w:t>
      </w:r>
    </w:p>
    <w:p w:rsidR="00895DAB" w:rsidRPr="00113652" w:rsidRDefault="00895DAB" w:rsidP="00895DAB">
      <w:pPr>
        <w:jc w:val="both"/>
        <w:rPr>
          <w:rFonts w:asciiTheme="majorHAnsi" w:hAnsiTheme="majorHAnsi" w:cstheme="majorHAnsi"/>
          <w:sz w:val="22"/>
          <w:szCs w:val="22"/>
        </w:rPr>
      </w:pPr>
    </w:p>
    <w:p w:rsidR="00895DAB" w:rsidRPr="00113652" w:rsidRDefault="00895DAB" w:rsidP="00895DAB">
      <w:pPr>
        <w:rPr>
          <w:rFonts w:asciiTheme="majorHAnsi" w:hAnsiTheme="majorHAnsi" w:cstheme="majorHAnsi"/>
        </w:rPr>
      </w:pPr>
      <w:bookmarkStart w:id="2" w:name="_Hlk170735602"/>
    </w:p>
    <w:bookmarkEnd w:id="2"/>
    <w:p w:rsidR="00895DAB" w:rsidRPr="00113652" w:rsidRDefault="00895DAB" w:rsidP="00895DAB">
      <w:pPr>
        <w:jc w:val="center"/>
        <w:rPr>
          <w:rFonts w:asciiTheme="majorHAnsi" w:hAnsiTheme="majorHAnsi" w:cstheme="majorHAnsi"/>
        </w:rPr>
      </w:pPr>
    </w:p>
    <w:p w:rsidR="00895DAB" w:rsidRDefault="00895DAB" w:rsidP="00895DAB">
      <w:pPr>
        <w:contextualSpacing/>
        <w:jc w:val="both"/>
        <w:rPr>
          <w:rFonts w:asciiTheme="majorHAnsi" w:hAnsiTheme="majorHAnsi" w:cstheme="majorHAnsi"/>
        </w:rPr>
      </w:pPr>
      <w:r>
        <w:rPr>
          <w:rFonts w:asciiTheme="majorHAnsi" w:hAnsiTheme="majorHAnsi" w:cstheme="majorHAnsi"/>
        </w:rPr>
        <w:t xml:space="preserve">The </w:t>
      </w:r>
      <w:r w:rsidRPr="00113652">
        <w:rPr>
          <w:rFonts w:asciiTheme="majorHAnsi" w:hAnsiTheme="majorHAnsi" w:cstheme="majorHAnsi"/>
        </w:rPr>
        <w:t>dates</w:t>
      </w:r>
      <w:r>
        <w:rPr>
          <w:rFonts w:asciiTheme="majorHAnsi" w:hAnsiTheme="majorHAnsi" w:cstheme="majorHAnsi"/>
        </w:rPr>
        <w:t xml:space="preserve"> for the Workshop </w:t>
      </w:r>
      <w:r w:rsidRPr="00113652">
        <w:rPr>
          <w:rFonts w:asciiTheme="majorHAnsi" w:hAnsiTheme="majorHAnsi" w:cstheme="majorHAnsi"/>
        </w:rPr>
        <w:t xml:space="preserve">are </w:t>
      </w:r>
      <w:r w:rsidRPr="00113652">
        <w:rPr>
          <w:rFonts w:asciiTheme="majorHAnsi" w:hAnsiTheme="majorHAnsi" w:cstheme="majorHAnsi"/>
          <w:b/>
        </w:rPr>
        <w:t>8-11 October 2024</w:t>
      </w:r>
      <w:r w:rsidRPr="00113652">
        <w:rPr>
          <w:rFonts w:asciiTheme="majorHAnsi" w:hAnsiTheme="majorHAnsi" w:cstheme="majorHAnsi"/>
        </w:rPr>
        <w:t xml:space="preserve"> (excluding travel days) in </w:t>
      </w:r>
      <w:proofErr w:type="spellStart"/>
      <w:r w:rsidRPr="00113652">
        <w:rPr>
          <w:rFonts w:asciiTheme="majorHAnsi" w:hAnsiTheme="majorHAnsi" w:cstheme="majorHAnsi"/>
        </w:rPr>
        <w:t>Fethiye</w:t>
      </w:r>
      <w:proofErr w:type="spellEnd"/>
      <w:r w:rsidRPr="00113652">
        <w:rPr>
          <w:rFonts w:asciiTheme="majorHAnsi" w:hAnsiTheme="majorHAnsi" w:cstheme="majorHAnsi"/>
        </w:rPr>
        <w:t xml:space="preserve">, </w:t>
      </w:r>
      <w:proofErr w:type="spellStart"/>
      <w:r w:rsidRPr="00113652">
        <w:rPr>
          <w:rFonts w:asciiTheme="majorHAnsi" w:hAnsiTheme="majorHAnsi" w:cstheme="majorHAnsi"/>
        </w:rPr>
        <w:t>Muğla</w:t>
      </w:r>
      <w:proofErr w:type="spellEnd"/>
      <w:r w:rsidRPr="00113652">
        <w:rPr>
          <w:rFonts w:asciiTheme="majorHAnsi" w:hAnsiTheme="majorHAnsi" w:cstheme="majorHAnsi"/>
        </w:rPr>
        <w:t xml:space="preserve">, Türkiye.  </w:t>
      </w:r>
    </w:p>
    <w:p w:rsidR="00895DAB" w:rsidRDefault="00895DAB" w:rsidP="00895DAB">
      <w:pPr>
        <w:contextualSpacing/>
        <w:jc w:val="both"/>
        <w:rPr>
          <w:rFonts w:asciiTheme="majorHAnsi" w:hAnsiTheme="majorHAnsi" w:cstheme="majorHAnsi"/>
        </w:rPr>
      </w:pPr>
    </w:p>
    <w:p w:rsidR="00895DAB" w:rsidRPr="00113652" w:rsidRDefault="00895DAB" w:rsidP="00895DAB">
      <w:pPr>
        <w:contextualSpacing/>
        <w:jc w:val="both"/>
        <w:rPr>
          <w:rFonts w:asciiTheme="majorHAnsi" w:hAnsiTheme="majorHAnsi" w:cstheme="majorHAnsi"/>
        </w:rPr>
      </w:pPr>
      <w:r w:rsidRPr="00113652">
        <w:rPr>
          <w:rFonts w:asciiTheme="majorHAnsi" w:hAnsiTheme="majorHAnsi" w:cstheme="majorHAnsi"/>
        </w:rPr>
        <w:t xml:space="preserve">Participants are expected to arrive in </w:t>
      </w:r>
      <w:proofErr w:type="spellStart"/>
      <w:r w:rsidRPr="00113652">
        <w:rPr>
          <w:rFonts w:asciiTheme="majorHAnsi" w:hAnsiTheme="majorHAnsi" w:cstheme="majorHAnsi"/>
        </w:rPr>
        <w:t>Fethiye</w:t>
      </w:r>
      <w:proofErr w:type="spellEnd"/>
      <w:r w:rsidRPr="00113652">
        <w:rPr>
          <w:rFonts w:asciiTheme="majorHAnsi" w:hAnsiTheme="majorHAnsi" w:cstheme="majorHAnsi"/>
        </w:rPr>
        <w:t xml:space="preserve"> at 7</w:t>
      </w:r>
      <w:r w:rsidRPr="00113652">
        <w:rPr>
          <w:rFonts w:asciiTheme="majorHAnsi" w:hAnsiTheme="majorHAnsi" w:cstheme="majorHAnsi"/>
          <w:vertAlign w:val="superscript"/>
        </w:rPr>
        <w:t>th</w:t>
      </w:r>
      <w:r w:rsidRPr="00113652">
        <w:rPr>
          <w:rFonts w:asciiTheme="majorHAnsi" w:hAnsiTheme="majorHAnsi" w:cstheme="majorHAnsi"/>
        </w:rPr>
        <w:t xml:space="preserve"> of October, Monday, 2024 and leave at 12</w:t>
      </w:r>
      <w:r w:rsidRPr="00113652">
        <w:rPr>
          <w:rFonts w:asciiTheme="majorHAnsi" w:hAnsiTheme="majorHAnsi" w:cstheme="majorHAnsi"/>
          <w:vertAlign w:val="superscript"/>
        </w:rPr>
        <w:t>th</w:t>
      </w:r>
      <w:r w:rsidRPr="00113652">
        <w:rPr>
          <w:rFonts w:asciiTheme="majorHAnsi" w:hAnsiTheme="majorHAnsi" w:cstheme="majorHAnsi"/>
        </w:rPr>
        <w:t xml:space="preserve"> of October, Saturday, 2024. </w:t>
      </w:r>
    </w:p>
    <w:p w:rsidR="00895DAB" w:rsidRPr="00113652" w:rsidRDefault="00895DAB" w:rsidP="00895DAB">
      <w:pPr>
        <w:contextualSpacing/>
        <w:jc w:val="both"/>
        <w:rPr>
          <w:rFonts w:asciiTheme="majorHAnsi" w:hAnsiTheme="majorHAnsi" w:cstheme="majorHAnsi"/>
        </w:rPr>
      </w:pPr>
    </w:p>
    <w:p w:rsidR="00895DAB" w:rsidRPr="00113652" w:rsidRDefault="00895DAB" w:rsidP="00895DAB">
      <w:pPr>
        <w:pStyle w:val="Balk2"/>
        <w:rPr>
          <w:rFonts w:cstheme="majorHAnsi"/>
        </w:rPr>
      </w:pPr>
      <w:bookmarkStart w:id="3" w:name="_Toc176258658"/>
      <w:r w:rsidRPr="00113652">
        <w:rPr>
          <w:rFonts w:cstheme="majorHAnsi"/>
        </w:rPr>
        <w:t>Objectives of the Workshop</w:t>
      </w:r>
      <w:bookmarkEnd w:id="3"/>
    </w:p>
    <w:p w:rsidR="00895DAB" w:rsidRPr="00113652" w:rsidRDefault="00895DAB" w:rsidP="00895DAB">
      <w:pPr>
        <w:pStyle w:val="ListeParagraf"/>
        <w:numPr>
          <w:ilvl w:val="0"/>
          <w:numId w:val="2"/>
        </w:numPr>
        <w:jc w:val="both"/>
        <w:rPr>
          <w:rFonts w:asciiTheme="majorHAnsi" w:hAnsiTheme="majorHAnsi" w:cstheme="majorHAnsi"/>
        </w:rPr>
      </w:pPr>
      <w:r w:rsidRPr="00113652">
        <w:rPr>
          <w:rFonts w:asciiTheme="majorHAnsi" w:hAnsiTheme="majorHAnsi" w:cstheme="majorHAnsi"/>
        </w:rPr>
        <w:t xml:space="preserve">Facilitate a stocktaking exercise of initiatives, tools and approaches for NWFP value chain development in the context of sustainable </w:t>
      </w:r>
      <w:proofErr w:type="spellStart"/>
      <w:r w:rsidRPr="00113652">
        <w:rPr>
          <w:rFonts w:asciiTheme="majorHAnsi" w:hAnsiTheme="majorHAnsi" w:cstheme="majorHAnsi"/>
        </w:rPr>
        <w:t>bioeconomy</w:t>
      </w:r>
      <w:proofErr w:type="spellEnd"/>
      <w:r w:rsidRPr="00113652">
        <w:rPr>
          <w:rFonts w:asciiTheme="majorHAnsi" w:hAnsiTheme="majorHAnsi" w:cstheme="majorHAnsi"/>
        </w:rPr>
        <w:t>.</w:t>
      </w:r>
    </w:p>
    <w:p w:rsidR="00895DAB" w:rsidRPr="00113652" w:rsidRDefault="00895DAB" w:rsidP="00895DAB">
      <w:pPr>
        <w:pStyle w:val="ListeParagraf"/>
        <w:numPr>
          <w:ilvl w:val="0"/>
          <w:numId w:val="2"/>
        </w:numPr>
        <w:jc w:val="both"/>
        <w:rPr>
          <w:rFonts w:asciiTheme="majorHAnsi" w:hAnsiTheme="majorHAnsi" w:cstheme="majorHAnsi"/>
        </w:rPr>
      </w:pPr>
      <w:r w:rsidRPr="00113652">
        <w:rPr>
          <w:rFonts w:asciiTheme="majorHAnsi" w:hAnsiTheme="majorHAnsi" w:cstheme="majorHAnsi"/>
        </w:rPr>
        <w:t>Facilitate knowledge exchange among participants on enhancing NWFP value chains in the region.</w:t>
      </w:r>
    </w:p>
    <w:p w:rsidR="00895DAB" w:rsidRPr="00113652" w:rsidRDefault="00895DAB" w:rsidP="00895DAB">
      <w:pPr>
        <w:pStyle w:val="ListeParagraf"/>
        <w:numPr>
          <w:ilvl w:val="0"/>
          <w:numId w:val="2"/>
        </w:numPr>
        <w:jc w:val="both"/>
        <w:rPr>
          <w:rFonts w:asciiTheme="majorHAnsi" w:hAnsiTheme="majorHAnsi" w:cstheme="majorHAnsi"/>
        </w:rPr>
      </w:pPr>
      <w:r w:rsidRPr="00113652">
        <w:rPr>
          <w:rFonts w:asciiTheme="majorHAnsi" w:hAnsiTheme="majorHAnsi" w:cstheme="majorHAnsi"/>
        </w:rPr>
        <w:t xml:space="preserve">Identify the main opportunities and challenges, as well as associated technical support requirements to optimize the development of NWFP value chains. </w:t>
      </w:r>
    </w:p>
    <w:p w:rsidR="00895DAB" w:rsidRPr="00113652" w:rsidRDefault="00895DAB" w:rsidP="00895DAB">
      <w:pPr>
        <w:pStyle w:val="ListeParagraf"/>
        <w:numPr>
          <w:ilvl w:val="0"/>
          <w:numId w:val="2"/>
        </w:numPr>
        <w:jc w:val="both"/>
        <w:rPr>
          <w:rFonts w:asciiTheme="majorHAnsi" w:hAnsiTheme="majorHAnsi" w:cstheme="majorHAnsi"/>
        </w:rPr>
      </w:pPr>
      <w:r w:rsidRPr="00113652">
        <w:rPr>
          <w:rFonts w:asciiTheme="majorHAnsi" w:hAnsiTheme="majorHAnsi" w:cstheme="majorHAnsi"/>
        </w:rPr>
        <w:t xml:space="preserve">Define a prioritized proxy regional agenda of actions to optimize the development of NWFP value chains for sustainable </w:t>
      </w:r>
      <w:proofErr w:type="spellStart"/>
      <w:r w:rsidRPr="00113652">
        <w:rPr>
          <w:rFonts w:asciiTheme="majorHAnsi" w:hAnsiTheme="majorHAnsi" w:cstheme="majorHAnsi"/>
        </w:rPr>
        <w:t>bioeconomy</w:t>
      </w:r>
      <w:proofErr w:type="spellEnd"/>
      <w:r w:rsidRPr="00113652">
        <w:rPr>
          <w:rFonts w:asciiTheme="majorHAnsi" w:hAnsiTheme="majorHAnsi" w:cstheme="majorHAnsi"/>
        </w:rPr>
        <w:t>.</w:t>
      </w:r>
    </w:p>
    <w:p w:rsidR="00895DAB" w:rsidRPr="00113652" w:rsidRDefault="00895DAB" w:rsidP="00895DAB">
      <w:pPr>
        <w:pStyle w:val="ListeParagraf"/>
        <w:numPr>
          <w:ilvl w:val="0"/>
          <w:numId w:val="2"/>
        </w:numPr>
        <w:jc w:val="both"/>
        <w:rPr>
          <w:rFonts w:asciiTheme="majorHAnsi" w:hAnsiTheme="majorHAnsi" w:cstheme="majorHAnsi"/>
        </w:rPr>
      </w:pPr>
      <w:r w:rsidRPr="00113652">
        <w:rPr>
          <w:rFonts w:asciiTheme="majorHAnsi" w:hAnsiTheme="majorHAnsi" w:cstheme="majorHAnsi"/>
        </w:rPr>
        <w:t>Provide guidance on the content of the regional guidelines on NWFP value chain development.</w:t>
      </w:r>
    </w:p>
    <w:p w:rsidR="00895DAB" w:rsidRPr="00113652" w:rsidRDefault="00895DAB" w:rsidP="00895DAB">
      <w:pPr>
        <w:ind w:left="360"/>
        <w:contextualSpacing/>
        <w:jc w:val="both"/>
        <w:rPr>
          <w:rFonts w:asciiTheme="majorHAnsi" w:hAnsiTheme="majorHAnsi" w:cstheme="majorHAnsi"/>
          <w:b/>
          <w:bCs/>
        </w:rPr>
      </w:pPr>
    </w:p>
    <w:p w:rsidR="00895DAB" w:rsidRPr="00113652" w:rsidRDefault="00895DAB" w:rsidP="00895DAB">
      <w:pPr>
        <w:pStyle w:val="Balk2"/>
        <w:rPr>
          <w:rFonts w:cstheme="majorHAnsi"/>
        </w:rPr>
      </w:pPr>
      <w:bookmarkStart w:id="4" w:name="_Toc176258659"/>
      <w:r w:rsidRPr="00113652">
        <w:rPr>
          <w:rFonts w:cstheme="majorHAnsi"/>
        </w:rPr>
        <w:t>Expected participants</w:t>
      </w:r>
      <w:bookmarkEnd w:id="4"/>
      <w:r w:rsidRPr="00113652">
        <w:rPr>
          <w:rFonts w:cstheme="majorHAnsi"/>
        </w:rPr>
        <w:t xml:space="preserve"> </w:t>
      </w:r>
    </w:p>
    <w:p w:rsidR="00895DAB" w:rsidRPr="00113652" w:rsidRDefault="00895DAB" w:rsidP="00895DAB">
      <w:pPr>
        <w:rPr>
          <w:rFonts w:asciiTheme="majorHAnsi" w:hAnsiTheme="majorHAnsi" w:cstheme="majorHAnsi"/>
        </w:rPr>
      </w:pPr>
    </w:p>
    <w:p w:rsidR="00895DAB" w:rsidRPr="00113652" w:rsidRDefault="00895DAB" w:rsidP="00895DAB">
      <w:pPr>
        <w:contextualSpacing/>
        <w:jc w:val="both"/>
        <w:rPr>
          <w:rFonts w:asciiTheme="majorHAnsi" w:hAnsiTheme="majorHAnsi" w:cstheme="majorHAnsi"/>
        </w:rPr>
      </w:pPr>
      <w:r w:rsidRPr="00113652">
        <w:rPr>
          <w:rFonts w:asciiTheme="majorHAnsi" w:hAnsiTheme="majorHAnsi" w:cstheme="majorHAnsi"/>
        </w:rPr>
        <w:t xml:space="preserve">This workshop will bring together </w:t>
      </w:r>
      <w:r w:rsidRPr="00113652">
        <w:rPr>
          <w:rFonts w:asciiTheme="majorHAnsi" w:hAnsiTheme="majorHAnsi" w:cstheme="majorHAnsi"/>
          <w:b/>
        </w:rPr>
        <w:t>15 countries from South and Eastern Europe, Central Asia and Caucasus</w:t>
      </w:r>
      <w:r w:rsidRPr="00113652">
        <w:rPr>
          <w:rFonts w:asciiTheme="majorHAnsi" w:hAnsiTheme="majorHAnsi" w:cstheme="majorHAnsi"/>
        </w:rPr>
        <w:t xml:space="preserve"> to identify and analyse their needs in value chain development of NWFPs.  </w:t>
      </w:r>
    </w:p>
    <w:p w:rsidR="00895DAB" w:rsidRPr="00113652" w:rsidRDefault="00895DAB" w:rsidP="00895DAB">
      <w:pPr>
        <w:contextualSpacing/>
        <w:jc w:val="both"/>
        <w:rPr>
          <w:rFonts w:asciiTheme="majorHAnsi" w:hAnsiTheme="majorHAnsi" w:cstheme="majorHAnsi"/>
        </w:rPr>
      </w:pPr>
    </w:p>
    <w:p w:rsidR="00895DAB" w:rsidRPr="00113652" w:rsidRDefault="00895DAB" w:rsidP="00895DAB">
      <w:pPr>
        <w:contextualSpacing/>
        <w:jc w:val="both"/>
        <w:rPr>
          <w:rFonts w:asciiTheme="majorHAnsi" w:hAnsiTheme="majorHAnsi" w:cstheme="majorHAnsi"/>
        </w:rPr>
      </w:pPr>
      <w:r w:rsidRPr="00113652">
        <w:rPr>
          <w:rFonts w:asciiTheme="majorHAnsi" w:hAnsiTheme="majorHAnsi" w:cstheme="majorHAnsi"/>
        </w:rPr>
        <w:t>The target audience for the workshop includes two representatives from each of the participating countries (</w:t>
      </w:r>
      <w:r w:rsidRPr="00113652">
        <w:rPr>
          <w:rFonts w:asciiTheme="majorHAnsi" w:hAnsiTheme="majorHAnsi" w:cstheme="majorHAnsi"/>
          <w:b/>
          <w:i/>
        </w:rPr>
        <w:t>28 Participants from 14 Countries</w:t>
      </w:r>
      <w:r w:rsidRPr="00113652">
        <w:rPr>
          <w:rFonts w:asciiTheme="majorHAnsi" w:hAnsiTheme="majorHAnsi" w:cstheme="majorHAnsi"/>
        </w:rPr>
        <w:t xml:space="preserve">) and local participants </w:t>
      </w:r>
      <w:r w:rsidRPr="00113652">
        <w:rPr>
          <w:rFonts w:asciiTheme="majorHAnsi" w:hAnsiTheme="majorHAnsi" w:cstheme="majorHAnsi"/>
          <w:b/>
          <w:i/>
        </w:rPr>
        <w:t>(12 Local Participants from Türkiye)</w:t>
      </w:r>
      <w:r>
        <w:rPr>
          <w:rFonts w:asciiTheme="majorHAnsi" w:hAnsiTheme="majorHAnsi" w:cstheme="majorHAnsi"/>
          <w:b/>
          <w:i/>
        </w:rPr>
        <w:t>.</w:t>
      </w:r>
      <w:r w:rsidRPr="00113652">
        <w:rPr>
          <w:rFonts w:asciiTheme="majorHAnsi" w:hAnsiTheme="majorHAnsi" w:cstheme="majorHAnsi"/>
        </w:rPr>
        <w:t xml:space="preserve"> </w:t>
      </w:r>
    </w:p>
    <w:p w:rsidR="00895DAB" w:rsidRPr="00113652" w:rsidRDefault="00895DAB" w:rsidP="00895DAB">
      <w:pPr>
        <w:contextualSpacing/>
        <w:jc w:val="both"/>
        <w:rPr>
          <w:rFonts w:asciiTheme="majorHAnsi" w:hAnsiTheme="majorHAnsi" w:cstheme="majorHAnsi"/>
        </w:rPr>
      </w:pPr>
    </w:p>
    <w:p w:rsidR="00895DAB" w:rsidRPr="00113652" w:rsidRDefault="00895DAB" w:rsidP="00895DAB">
      <w:pPr>
        <w:contextualSpacing/>
        <w:jc w:val="both"/>
        <w:rPr>
          <w:rFonts w:asciiTheme="majorHAnsi" w:hAnsiTheme="majorHAnsi" w:cstheme="majorHAnsi"/>
        </w:rPr>
      </w:pPr>
      <w:r w:rsidRPr="00113652">
        <w:rPr>
          <w:rFonts w:asciiTheme="majorHAnsi" w:hAnsiTheme="majorHAnsi" w:cstheme="majorHAnsi"/>
        </w:rPr>
        <w:lastRenderedPageBreak/>
        <w:t>This may encompass representatives from government institutions responsible for forestry, agriculture, environment, food or other relevant topics, academia, relevant NGOs, local communities, civil society, development partners, certification bodies and the private sector from selected countries in South and Eastern Europe, Central Asia and Caucasus.</w:t>
      </w:r>
    </w:p>
    <w:p w:rsidR="00895DAB" w:rsidRPr="00113652" w:rsidRDefault="00895DAB" w:rsidP="00895DAB">
      <w:pPr>
        <w:ind w:left="360"/>
        <w:contextualSpacing/>
        <w:jc w:val="both"/>
        <w:rPr>
          <w:rFonts w:asciiTheme="majorHAnsi" w:hAnsiTheme="majorHAnsi" w:cstheme="majorHAnsi"/>
        </w:rPr>
      </w:pPr>
    </w:p>
    <w:p w:rsidR="00895DAB" w:rsidRPr="00113652" w:rsidRDefault="00895DAB" w:rsidP="00895DAB">
      <w:pPr>
        <w:contextualSpacing/>
        <w:jc w:val="both"/>
        <w:rPr>
          <w:rFonts w:asciiTheme="majorHAnsi" w:hAnsiTheme="majorHAnsi" w:cstheme="majorHAnsi"/>
        </w:rPr>
      </w:pPr>
      <w:r w:rsidRPr="00113652">
        <w:rPr>
          <w:rFonts w:asciiTheme="majorHAnsi" w:hAnsiTheme="majorHAnsi" w:cstheme="majorHAnsi"/>
        </w:rPr>
        <w:t>All expenses related to the</w:t>
      </w:r>
      <w:r>
        <w:rPr>
          <w:rFonts w:asciiTheme="majorHAnsi" w:hAnsiTheme="majorHAnsi" w:cstheme="majorHAnsi"/>
        </w:rPr>
        <w:t xml:space="preserve"> </w:t>
      </w:r>
      <w:r w:rsidRPr="00664724">
        <w:t>workshop</w:t>
      </w:r>
      <w:r>
        <w:t xml:space="preserve"> </w:t>
      </w:r>
      <w:r w:rsidRPr="00113652">
        <w:rPr>
          <w:rFonts w:asciiTheme="majorHAnsi" w:hAnsiTheme="majorHAnsi" w:cstheme="majorHAnsi"/>
        </w:rPr>
        <w:t>will be provided by the OMO.</w:t>
      </w:r>
    </w:p>
    <w:p w:rsidR="00895DAB" w:rsidRPr="00113652" w:rsidRDefault="00895DAB" w:rsidP="00895DAB">
      <w:pPr>
        <w:contextualSpacing/>
        <w:jc w:val="both"/>
        <w:rPr>
          <w:rFonts w:asciiTheme="majorHAnsi" w:hAnsiTheme="majorHAnsi" w:cstheme="majorHAnsi"/>
        </w:rPr>
      </w:pPr>
    </w:p>
    <w:p w:rsidR="00895DAB" w:rsidRPr="00113652" w:rsidRDefault="00895DAB" w:rsidP="00895DAB">
      <w:pPr>
        <w:contextualSpacing/>
        <w:jc w:val="both"/>
        <w:rPr>
          <w:rFonts w:asciiTheme="majorHAnsi" w:hAnsiTheme="majorHAnsi" w:cstheme="majorHAnsi"/>
        </w:rPr>
      </w:pPr>
    </w:p>
    <w:tbl>
      <w:tblPr>
        <w:tblW w:w="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389"/>
      </w:tblGrid>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No</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Country</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1</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Albania</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2</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Armenia</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3</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Azerbaijan</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4</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Bosnia and Herzegovina</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5</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Georgia</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6</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Kazakhstan</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7</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Kyrgyzstan</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8</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Moldova</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9</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Montenegro</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10</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North Macedonia</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11</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Serbia</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12</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Tajikistan</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13</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Turkmenistan</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14</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Türkiye</w:t>
            </w:r>
          </w:p>
        </w:tc>
      </w:tr>
      <w:tr w:rsidR="00895DAB" w:rsidRPr="00113652" w:rsidTr="008C5756">
        <w:trPr>
          <w:trHeight w:val="288"/>
          <w:jc w:val="center"/>
        </w:trPr>
        <w:tc>
          <w:tcPr>
            <w:tcW w:w="960"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15</w:t>
            </w:r>
          </w:p>
        </w:tc>
        <w:tc>
          <w:tcPr>
            <w:tcW w:w="2389" w:type="dxa"/>
            <w:shd w:val="clear" w:color="auto" w:fill="auto"/>
            <w:noWrap/>
            <w:vAlign w:val="bottom"/>
            <w:hideMark/>
          </w:tcPr>
          <w:p w:rsidR="00895DAB" w:rsidRPr="00113652" w:rsidRDefault="00895DAB" w:rsidP="008C5756">
            <w:pPr>
              <w:rPr>
                <w:rFonts w:asciiTheme="majorHAnsi" w:hAnsiTheme="majorHAnsi" w:cstheme="majorHAnsi"/>
                <w:color w:val="000000"/>
                <w:sz w:val="22"/>
                <w:szCs w:val="22"/>
                <w:lang w:val="en-US" w:eastAsia="tr-TR"/>
              </w:rPr>
            </w:pPr>
            <w:r w:rsidRPr="00113652">
              <w:rPr>
                <w:rFonts w:asciiTheme="majorHAnsi" w:hAnsiTheme="majorHAnsi" w:cstheme="majorHAnsi"/>
                <w:color w:val="000000"/>
                <w:sz w:val="22"/>
                <w:szCs w:val="22"/>
                <w:lang w:val="en-US" w:eastAsia="tr-TR"/>
              </w:rPr>
              <w:t>Uzbekistan</w:t>
            </w:r>
          </w:p>
        </w:tc>
      </w:tr>
    </w:tbl>
    <w:p w:rsidR="008350CF" w:rsidRDefault="008350CF"/>
    <w:sectPr w:rsidR="00835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2737"/>
    <w:multiLevelType w:val="hybridMultilevel"/>
    <w:tmpl w:val="6480ED98"/>
    <w:lvl w:ilvl="0" w:tplc="E1AC0B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26459"/>
    <w:multiLevelType w:val="hybridMultilevel"/>
    <w:tmpl w:val="12BE8342"/>
    <w:lvl w:ilvl="0" w:tplc="1318E23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A5"/>
    <w:rsid w:val="00332EE5"/>
    <w:rsid w:val="003A6091"/>
    <w:rsid w:val="00614FF8"/>
    <w:rsid w:val="00714309"/>
    <w:rsid w:val="007B083B"/>
    <w:rsid w:val="008350CF"/>
    <w:rsid w:val="00895DAB"/>
    <w:rsid w:val="00A517A5"/>
    <w:rsid w:val="00BF7747"/>
    <w:rsid w:val="00DA1D86"/>
    <w:rsid w:val="00EE006C"/>
    <w:rsid w:val="00F61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1580"/>
  <w15:chartTrackingRefBased/>
  <w15:docId w15:val="{2CF1072A-0F54-47CC-88D3-D05A3563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AB"/>
    <w:pPr>
      <w:spacing w:after="0" w:line="240" w:lineRule="auto"/>
    </w:pPr>
    <w:rPr>
      <w:rFonts w:ascii="Times New Roman" w:eastAsia="Times New Roman" w:hAnsi="Times New Roman" w:cs="Times New Roman"/>
      <w:sz w:val="24"/>
      <w:szCs w:val="20"/>
      <w:lang w:val="en-GB" w:eastAsia="en-GB"/>
    </w:rPr>
  </w:style>
  <w:style w:type="paragraph" w:styleId="Balk1">
    <w:name w:val="heading 1"/>
    <w:basedOn w:val="Normal"/>
    <w:next w:val="Normal"/>
    <w:link w:val="Balk1Char"/>
    <w:qFormat/>
    <w:rsid w:val="00DA1D86"/>
    <w:pPr>
      <w:keepNext/>
      <w:outlineLvl w:val="0"/>
    </w:pPr>
    <w:rPr>
      <w:b/>
      <w:bCs/>
      <w:szCs w:val="24"/>
      <w:lang w:val="en-US"/>
    </w:rPr>
  </w:style>
  <w:style w:type="paragraph" w:styleId="Balk2">
    <w:name w:val="heading 2"/>
    <w:basedOn w:val="Normal"/>
    <w:next w:val="Normal"/>
    <w:link w:val="Balk2Char"/>
    <w:uiPriority w:val="9"/>
    <w:unhideWhenUsed/>
    <w:qFormat/>
    <w:rsid w:val="00895DA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DA1D86"/>
    <w:rPr>
      <w:b/>
      <w:bCs/>
      <w:sz w:val="24"/>
      <w:szCs w:val="24"/>
      <w:lang w:val="en-US"/>
    </w:rPr>
  </w:style>
  <w:style w:type="paragraph" w:customStyle="1" w:styleId="Stil1">
    <w:name w:val="Stil1"/>
    <w:basedOn w:val="Balk1"/>
    <w:link w:val="Stil1Char"/>
    <w:autoRedefine/>
    <w:qFormat/>
    <w:rsid w:val="00BF7747"/>
    <w:pPr>
      <w:spacing w:before="120" w:after="120"/>
    </w:pPr>
    <w:rPr>
      <w:rFonts w:ascii="Calibri Light" w:hAnsi="Calibri Light"/>
    </w:rPr>
  </w:style>
  <w:style w:type="character" w:customStyle="1" w:styleId="Stil1Char">
    <w:name w:val="Stil1 Char"/>
    <w:basedOn w:val="Balk1Char"/>
    <w:link w:val="Stil1"/>
    <w:rsid w:val="00BF7747"/>
    <w:rPr>
      <w:rFonts w:ascii="Calibri Light" w:hAnsi="Calibri Light"/>
      <w:b/>
      <w:bCs/>
      <w:sz w:val="24"/>
      <w:szCs w:val="24"/>
      <w:lang w:val="en-US"/>
    </w:rPr>
  </w:style>
  <w:style w:type="character" w:customStyle="1" w:styleId="Balk2Char">
    <w:name w:val="Başlık 2 Char"/>
    <w:basedOn w:val="VarsaylanParagrafYazTipi"/>
    <w:link w:val="Balk2"/>
    <w:uiPriority w:val="9"/>
    <w:rsid w:val="00895DAB"/>
    <w:rPr>
      <w:rFonts w:asciiTheme="majorHAnsi" w:eastAsiaTheme="majorEastAsia" w:hAnsiTheme="majorHAnsi" w:cstheme="majorBidi"/>
      <w:color w:val="2E74B5" w:themeColor="accent1" w:themeShade="BF"/>
      <w:sz w:val="26"/>
      <w:szCs w:val="26"/>
      <w:lang w:val="en-GB" w:eastAsia="en-GB"/>
    </w:rPr>
  </w:style>
  <w:style w:type="paragraph" w:styleId="ListeParagraf">
    <w:name w:val="List Paragraph"/>
    <w:basedOn w:val="Normal"/>
    <w:link w:val="ListeParagrafChar"/>
    <w:uiPriority w:val="34"/>
    <w:qFormat/>
    <w:rsid w:val="00895DAB"/>
    <w:pPr>
      <w:ind w:left="720"/>
      <w:contextualSpacing/>
    </w:pPr>
  </w:style>
  <w:style w:type="character" w:customStyle="1" w:styleId="ListeParagrafChar">
    <w:name w:val="Liste Paragraf Char"/>
    <w:link w:val="ListeParagraf"/>
    <w:uiPriority w:val="34"/>
    <w:locked/>
    <w:rsid w:val="00895DAB"/>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Belen</dc:creator>
  <cp:keywords/>
  <dc:description/>
  <cp:lastModifiedBy>İsmail Belen</cp:lastModifiedBy>
  <cp:revision>4</cp:revision>
  <dcterms:created xsi:type="dcterms:W3CDTF">2024-10-02T18:46:00Z</dcterms:created>
  <dcterms:modified xsi:type="dcterms:W3CDTF">2024-10-02T19:02:00Z</dcterms:modified>
</cp:coreProperties>
</file>